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312" w:afterLines="100"/>
        <w:ind w:firstLine="0" w:firstLineChars="0"/>
        <w:jc w:val="center"/>
        <w:rPr>
          <w:rFonts w:ascii="华文隶书" w:hAnsi="华文隶书" w:eastAsia="华文隶书" w:cs="华文隶书"/>
          <w:sz w:val="44"/>
          <w:szCs w:val="44"/>
        </w:rPr>
      </w:pPr>
      <w:r>
        <w:rPr>
          <w:rFonts w:hint="eastAsia" w:ascii="华文隶书" w:hAnsi="华文隶书" w:eastAsia="华文隶书" w:cs="华文隶书"/>
          <w:sz w:val="44"/>
          <w:szCs w:val="44"/>
        </w:rPr>
        <w:t>铸剑航天·梦在苍穹</w:t>
      </w:r>
    </w:p>
    <w:p>
      <w:pPr>
        <w:adjustRightInd w:val="0"/>
        <w:snapToGrid w:val="0"/>
        <w:spacing w:before="312" w:beforeLines="100" w:after="312" w:afterLines="100"/>
        <w:ind w:firstLine="0" w:firstLineChars="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中国航天科工集团第十研究院</w:t>
      </w:r>
    </w:p>
    <w:p>
      <w:pPr>
        <w:adjustRightInd w:val="0"/>
        <w:snapToGrid w:val="0"/>
        <w:spacing w:before="312" w:beforeLines="100" w:after="312" w:afterLines="100"/>
        <w:ind w:firstLine="0" w:firstLineChars="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3届秋</w:t>
      </w:r>
      <w:r>
        <w:rPr>
          <w:rFonts w:hint="eastAsia" w:ascii="方正小标宋简体" w:hAnsi="方正小标宋简体" w:eastAsia="方正小标宋简体" w:cs="方正小标宋简体"/>
          <w:b/>
          <w:bCs/>
          <w:sz w:val="44"/>
          <w:szCs w:val="44"/>
        </w:rPr>
        <w:t>季招聘公告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rPr>
      </w:pPr>
      <w:r>
        <w:rPr>
          <w:rFonts w:hint="eastAsia" w:ascii="黑体" w:hAnsi="黑体" w:eastAsia="黑体" w:cs="黑体"/>
          <w:b w:val="0"/>
          <w:bCs/>
          <w:lang w:eastAsia="zh-CN"/>
        </w:rPr>
        <w:t>一、</w:t>
      </w:r>
      <w:r>
        <w:rPr>
          <w:rFonts w:hint="eastAsia" w:ascii="黑体" w:hAnsi="黑体" w:eastAsia="黑体" w:cs="黑体"/>
          <w:b w:val="0"/>
          <w:bCs/>
        </w:rPr>
        <w:t>航天十院简介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中国航天科工集团第十研究院（下称航天十院），是1964年经中央专委批准，1970年建成投产的武器系统科研生产基地，是我国地空导弹武器系统三大总体单位之一，是国内唯一专业配套相对完整的地空导弹武器系统战略后方基地。航天十院辖有2</w:t>
      </w:r>
      <w:r>
        <w:rPr>
          <w:rFonts w:hint="eastAsia" w:ascii="仿宋_GB2312" w:hAnsi="仿宋_GB2312" w:eastAsia="仿宋_GB2312" w:cs="仿宋_GB2312"/>
          <w:lang w:val="en-US" w:eastAsia="zh-CN"/>
        </w:rPr>
        <w:t>1</w:t>
      </w:r>
      <w:r>
        <w:rPr>
          <w:rFonts w:hint="eastAsia" w:ascii="仿宋_GB2312" w:hAnsi="仿宋_GB2312" w:eastAsia="仿宋_GB2312" w:cs="仿宋_GB2312"/>
        </w:rPr>
        <w:t>家企事业单位（含1个上市公司），现有职工14000</w:t>
      </w:r>
      <w:r>
        <w:rPr>
          <w:rFonts w:hint="eastAsia" w:ascii="仿宋_GB2312" w:hAnsi="仿宋_GB2312" w:eastAsia="仿宋_GB2312" w:cs="仿宋_GB2312"/>
          <w:lang w:eastAsia="zh-CN"/>
        </w:rPr>
        <w:t>余</w:t>
      </w:r>
      <w:r>
        <w:rPr>
          <w:rFonts w:hint="eastAsia" w:ascii="仿宋_GB2312" w:hAnsi="仿宋_GB2312" w:eastAsia="仿宋_GB2312" w:cs="仿宋_GB2312"/>
        </w:rPr>
        <w:t>人，资产总额230多亿元，所属各单位主要分布在贵州省贵阳市和遵义市、江苏省苏州市、镇江市和泰州市、</w:t>
      </w:r>
      <w:r>
        <w:rPr>
          <w:rFonts w:hint="eastAsia" w:ascii="仿宋_GB2312" w:hAnsi="仿宋_GB2312" w:eastAsia="仿宋_GB2312" w:cs="仿宋_GB2312"/>
          <w:lang w:eastAsia="zh-CN"/>
        </w:rPr>
        <w:t>湖南省长沙市、</w:t>
      </w:r>
      <w:r>
        <w:rPr>
          <w:rFonts w:hint="eastAsia" w:ascii="仿宋_GB2312" w:hAnsi="仿宋_GB2312" w:eastAsia="仿宋_GB2312" w:cs="仿宋_GB2312"/>
        </w:rPr>
        <w:t>北京市、上海市、重庆市、广东省东莞市、四川省成都市，本部位于贵阳市。</w:t>
      </w:r>
    </w:p>
    <w:p>
      <w:pPr>
        <w:ind w:firstLine="640"/>
        <w:rPr>
          <w:rFonts w:hint="eastAsia" w:ascii="仿宋_GB2312" w:hAnsi="仿宋_GB2312" w:eastAsia="仿宋_GB2312" w:cs="仿宋_GB2312"/>
        </w:rPr>
      </w:pPr>
      <w:r>
        <w:rPr>
          <w:rFonts w:hint="eastAsia" w:ascii="仿宋_GB2312" w:hAnsi="仿宋_GB2312" w:eastAsia="仿宋_GB2312" w:cs="仿宋_GB2312"/>
        </w:rPr>
        <w:t>航天十院武器系统专业配套相对完整，拥有多个核心专业，以及特种化学电源、微特电机、伺服机构、惯性器件、电连接器、继电器、特种方舱、精密齿轮等优势产品。承担了航天、航空、船舶、兵器、电子等行业多家总体单位配套任务。50多年来，航天十院先后承担多型航天产品的研制生产任务，为国防建设做出了应有的贡献。航天十院研制生产的武器装备多次参加重大军事演习和国家重大阅兵活动。在举世瞩目的“神舟”飞天、舱外“行走”、太空之“吻”、“嫦娥”奔月、蟾宫“漫步”、“火星探测”等航天任务中，多次突破关键技术，出色完成研制生产配套任务。</w:t>
      </w:r>
    </w:p>
    <w:p>
      <w:pPr>
        <w:pStyle w:val="2"/>
        <w:rPr>
          <w:rFonts w:hint="eastAsi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eastAsia="zh-CN"/>
        </w:rPr>
      </w:pPr>
      <w:r>
        <w:rPr>
          <w:rFonts w:hint="eastAsia" w:ascii="黑体" w:hAnsi="黑体" w:eastAsia="黑体" w:cs="黑体"/>
          <w:b w:val="0"/>
          <w:bCs/>
          <w:lang w:eastAsia="zh-CN"/>
        </w:rPr>
        <w:t>二、创新平台</w:t>
      </w:r>
    </w:p>
    <w:p>
      <w:pPr>
        <w:ind w:firstLine="640"/>
        <w:rPr>
          <w:rFonts w:hint="eastAsia" w:ascii="仿宋_GB2312" w:hAnsi="仿宋_GB2312" w:cs="仿宋_GB2312"/>
        </w:rPr>
      </w:pPr>
      <w:r>
        <w:rPr>
          <w:rFonts w:hint="eastAsia" w:ascii="仿宋_GB2312" w:hAnsi="仿宋_GB2312" w:cs="仿宋_GB2312"/>
        </w:rPr>
        <w:t>航天十院拥有1个国家重点实验室、1个国家工程技术研究中心，2个国家地方联合工程研究中心，4个国家企业技术中心、5个省级重点实验室、8个省级工程技术研究中心、5个省级工程研究中心、15个省级企业技术中心、4个国家授权的试验检测机构、5个国家公共技术服务平台、4个国家创新型企业、9个贵州省创新型企业、27个国家高新技术企业、2个国家高新产业化基地、5个贵州省科技领军型企业、4个省级孵化器、4个科技小巨人企业、11个院士科研工作站、2个博士后科研工作站、1个硕士学位授权点。</w:t>
      </w:r>
    </w:p>
    <w:p>
      <w:pPr>
        <w:pStyle w:val="2"/>
        <w:rPr>
          <w:rFonts w:hint="eastAsi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eastAsia="zh-CN"/>
        </w:rPr>
      </w:pPr>
      <w:r>
        <w:rPr>
          <w:rFonts w:hint="eastAsia" w:ascii="黑体" w:hAnsi="黑体" w:eastAsia="黑体" w:cs="黑体"/>
          <w:b w:val="0"/>
          <w:bCs/>
          <w:lang w:eastAsia="zh-CN"/>
        </w:rPr>
        <w:t>三、简历投递方式</w:t>
      </w:r>
    </w:p>
    <w:p>
      <w:pPr>
        <w:numPr>
          <w:ilvl w:val="0"/>
          <w:numId w:val="0"/>
        </w:numPr>
        <w:ind w:firstLine="640" w:firstLineChars="200"/>
        <w:rPr>
          <w:rFonts w:hint="eastAsia"/>
        </w:rPr>
      </w:pPr>
      <w:r>
        <w:rPr>
          <w:rFonts w:hint="eastAsia" w:ascii="仿宋_GB2312" w:hAnsi="仿宋_GB2312" w:eastAsia="仿宋_GB2312" w:cs="仿宋_GB2312"/>
        </w:rPr>
        <w:t>㈠</w:t>
      </w:r>
      <w:r>
        <w:rPr>
          <w:rFonts w:hint="eastAsia"/>
          <w:lang w:val="en-US" w:eastAsia="zh-CN"/>
        </w:rPr>
        <w:t xml:space="preserve"> </w:t>
      </w:r>
      <w:r>
        <w:rPr>
          <w:rFonts w:hint="eastAsia"/>
        </w:rPr>
        <w:t>报名时间：即日起至202</w:t>
      </w:r>
      <w:r>
        <w:rPr>
          <w:rFonts w:hint="eastAsia"/>
          <w:lang w:val="en-US" w:eastAsia="zh-CN"/>
        </w:rPr>
        <w:t>3</w:t>
      </w:r>
      <w:r>
        <w:rPr>
          <w:rFonts w:hint="eastAsia"/>
        </w:rPr>
        <w:t>年7月。</w:t>
      </w:r>
    </w:p>
    <w:p>
      <w:pPr>
        <w:numPr>
          <w:ilvl w:val="0"/>
          <w:numId w:val="0"/>
        </w:numPr>
        <w:ind w:firstLine="640" w:firstLineChars="200"/>
      </w:pPr>
      <w:r>
        <w:rPr>
          <w:rFonts w:hint="eastAsia" w:ascii="仿宋_GB2312" w:hAnsi="仿宋_GB2312" w:eastAsia="仿宋_GB2312" w:cs="仿宋_GB2312"/>
        </w:rPr>
        <w:t>㈡</w:t>
      </w:r>
      <w:r>
        <w:rPr>
          <w:rFonts w:hint="eastAsia"/>
          <w:lang w:val="en-US" w:eastAsia="zh-CN"/>
        </w:rPr>
        <w:t xml:space="preserve"> </w:t>
      </w:r>
      <w:r>
        <w:rPr>
          <w:rFonts w:hint="eastAsia"/>
        </w:rPr>
        <w:t>招聘流程：简历投递—</w:t>
      </w:r>
      <w:r>
        <w:rPr>
          <w:rFonts w:hint="eastAsia"/>
          <w:lang w:eastAsia="zh-CN"/>
        </w:rPr>
        <w:t>综合</w:t>
      </w:r>
      <w:r>
        <w:rPr>
          <w:rFonts w:hint="eastAsia"/>
        </w:rPr>
        <w:t>测评—综合面试—专业面试—综合考察—体检—录用。</w:t>
      </w:r>
    </w:p>
    <w:p>
      <w:pPr>
        <w:numPr>
          <w:ilvl w:val="0"/>
          <w:numId w:val="0"/>
        </w:numPr>
        <w:ind w:firstLine="640" w:firstLineChars="200"/>
        <w:rPr>
          <w:rFonts w:hint="eastAsia"/>
        </w:rPr>
      </w:pPr>
      <w:r>
        <w:rPr>
          <w:rFonts w:hint="eastAsia" w:ascii="仿宋_GB2312" w:hAnsi="仿宋_GB2312" w:eastAsia="仿宋_GB2312" w:cs="仿宋_GB2312"/>
        </w:rPr>
        <w:t>㈢</w:t>
      </w:r>
      <w:r>
        <w:rPr>
          <w:rFonts w:hint="eastAsia"/>
          <w:lang w:val="en-US" w:eastAsia="zh-CN"/>
        </w:rPr>
        <w:t xml:space="preserve"> </w:t>
      </w:r>
      <w:r>
        <w:rPr>
          <w:rFonts w:hint="eastAsia"/>
        </w:rPr>
        <w:t>简历投递：通过ATS系统投递简历，微信搜索“航天十院HR”微信公众号获取简历投递入口。</w:t>
      </w:r>
    </w:p>
    <w:p>
      <w:pPr>
        <w:pStyle w:val="2"/>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eastAsia="zh-CN"/>
        </w:rPr>
      </w:pPr>
      <w:r>
        <w:rPr>
          <w:rFonts w:hint="eastAsia" w:ascii="黑体" w:hAnsi="黑体" w:eastAsia="黑体" w:cs="黑体"/>
          <w:b w:val="0"/>
          <w:bCs/>
          <w:lang w:eastAsia="zh-CN"/>
        </w:rPr>
        <w:t>四、需求专业及招聘岗位</w:t>
      </w:r>
    </w:p>
    <w:p>
      <w:pPr>
        <w:ind w:firstLine="640"/>
      </w:pPr>
      <w:r>
        <w:rPr>
          <w:rFonts w:hint="eastAsia"/>
        </w:rPr>
        <w:t>航天十院主要需求以下领域的博士、硕士和本科生：航空航天类、兵器类、机械类、材料类、电子通信类、控制类、计算机、电机、电气、化学类、</w:t>
      </w:r>
      <w:r>
        <w:rPr>
          <w:rFonts w:hint="eastAsia"/>
          <w:lang w:eastAsia="zh-CN"/>
        </w:rPr>
        <w:t>经</w:t>
      </w:r>
      <w:r>
        <w:rPr>
          <w:rFonts w:hint="eastAsia"/>
        </w:rPr>
        <w:t>管类等</w:t>
      </w:r>
      <w:r>
        <w:rPr>
          <w:rFonts w:hint="eastAsia"/>
          <w:lang w:eastAsia="zh-CN"/>
        </w:rPr>
        <w:t>相关</w:t>
      </w:r>
      <w:r>
        <w:rPr>
          <w:rFonts w:hint="eastAsia"/>
        </w:rPr>
        <w:t>专业。</w:t>
      </w:r>
    </w:p>
    <w:p>
      <w:pPr>
        <w:ind w:firstLine="640"/>
      </w:pPr>
      <w:r>
        <w:rPr>
          <w:rFonts w:hint="eastAsia"/>
        </w:rPr>
        <w:t>航天十院202</w:t>
      </w:r>
      <w:r>
        <w:rPr>
          <w:rFonts w:hint="eastAsia"/>
          <w:lang w:val="en-US" w:eastAsia="zh-CN"/>
        </w:rPr>
        <w:t>3</w:t>
      </w:r>
      <w:r>
        <w:rPr>
          <w:rFonts w:hint="eastAsia"/>
          <w:lang w:eastAsia="zh-CN"/>
        </w:rPr>
        <w:t>届秋</w:t>
      </w:r>
      <w:r>
        <w:rPr>
          <w:rFonts w:hint="eastAsia"/>
        </w:rPr>
        <w:t>季招聘计划引进</w:t>
      </w:r>
      <w:r>
        <w:rPr>
          <w:rFonts w:hint="eastAsia"/>
          <w:color w:val="FF0000"/>
          <w:lang w:val="en-US" w:eastAsia="zh-CN"/>
        </w:rPr>
        <w:t>67</w:t>
      </w:r>
      <w:r>
        <w:rPr>
          <w:rFonts w:hint="default"/>
          <w:color w:val="FF0000"/>
          <w:lang w:eastAsia="zh-CN"/>
        </w:rPr>
        <w:t>2</w:t>
      </w:r>
      <w:r>
        <w:rPr>
          <w:rFonts w:hint="eastAsia"/>
        </w:rPr>
        <w:t>人，其中博士</w:t>
      </w:r>
      <w:r>
        <w:rPr>
          <w:rFonts w:hint="default"/>
          <w:color w:val="FF0000"/>
          <w:lang w:eastAsia="zh-CN"/>
        </w:rPr>
        <w:t>40</w:t>
      </w:r>
      <w:r>
        <w:rPr>
          <w:rFonts w:hint="eastAsia"/>
        </w:rPr>
        <w:t>人，硕士</w:t>
      </w:r>
      <w:r>
        <w:rPr>
          <w:rFonts w:hint="eastAsia"/>
          <w:lang w:val="en-US" w:eastAsia="zh-CN"/>
        </w:rPr>
        <w:t>451</w:t>
      </w:r>
      <w:r>
        <w:rPr>
          <w:rFonts w:hint="eastAsia"/>
        </w:rPr>
        <w:t>人，本科</w:t>
      </w:r>
      <w:r>
        <w:rPr>
          <w:rFonts w:hint="eastAsia"/>
          <w:lang w:val="en-US" w:eastAsia="zh-CN"/>
        </w:rPr>
        <w:t>181</w:t>
      </w:r>
      <w:r>
        <w:rPr>
          <w:rFonts w:hint="eastAsia"/>
        </w:rPr>
        <w:t>人。</w:t>
      </w:r>
    </w:p>
    <w:p>
      <w:pPr>
        <w:pStyle w:val="2"/>
        <w:ind w:firstLine="640"/>
      </w:pPr>
      <w:r>
        <w:rPr>
          <w:rFonts w:hint="eastAsia"/>
        </w:rPr>
        <w:t>详见附件。</w:t>
      </w:r>
      <w:bookmarkStart w:id="0" w:name="_GoBack"/>
      <w:bookmarkEnd w:id="0"/>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eastAsia="zh-CN"/>
        </w:rPr>
      </w:pPr>
      <w:r>
        <w:rPr>
          <w:rFonts w:hint="eastAsia" w:ascii="黑体" w:hAnsi="黑体" w:eastAsia="黑体" w:cs="黑体"/>
          <w:b w:val="0"/>
          <w:bCs/>
          <w:lang w:eastAsia="zh-CN"/>
        </w:rPr>
        <w:t>五、薪酬福利</w:t>
      </w:r>
    </w:p>
    <w:p>
      <w:pPr>
        <w:numPr>
          <w:ilvl w:val="0"/>
          <w:numId w:val="0"/>
        </w:numPr>
        <w:ind w:firstLine="640" w:firstLineChars="200"/>
      </w:pPr>
      <w:r>
        <w:rPr>
          <w:rFonts w:hint="eastAsia" w:ascii="仿宋_GB2312" w:hAnsi="仿宋_GB2312" w:eastAsia="仿宋_GB2312" w:cs="仿宋_GB2312"/>
        </w:rPr>
        <w:t>㈠</w:t>
      </w:r>
      <w:r>
        <w:rPr>
          <w:rFonts w:hint="eastAsia"/>
          <w:lang w:val="en-US" w:eastAsia="zh-CN"/>
        </w:rPr>
        <w:t xml:space="preserve"> </w:t>
      </w:r>
      <w:r>
        <w:rPr>
          <w:rFonts w:hint="eastAsia"/>
        </w:rPr>
        <w:t>薪酬水平</w:t>
      </w:r>
    </w:p>
    <w:p>
      <w:pPr>
        <w:ind w:firstLine="640"/>
      </w:pPr>
      <w:r>
        <w:rPr>
          <w:rFonts w:hint="eastAsia"/>
        </w:rPr>
        <w:t>本科：8-15万元/年，安家费最高7万元；</w:t>
      </w:r>
    </w:p>
    <w:p>
      <w:pPr>
        <w:ind w:firstLine="640"/>
      </w:pPr>
      <w:r>
        <w:rPr>
          <w:rFonts w:hint="eastAsia"/>
        </w:rPr>
        <w:t>硕士：10-</w:t>
      </w:r>
      <w:r>
        <w:rPr>
          <w:rFonts w:hint="eastAsia"/>
          <w:lang w:val="en-US" w:eastAsia="zh-CN"/>
        </w:rPr>
        <w:t>3</w:t>
      </w:r>
      <w:r>
        <w:rPr>
          <w:rFonts w:hint="eastAsia"/>
        </w:rPr>
        <w:t>0万元/年，安家费最高14</w:t>
      </w:r>
      <w:r>
        <w:rPr>
          <w:rFonts w:hint="eastAsia"/>
          <w:lang w:val="en-US" w:eastAsia="zh-CN"/>
        </w:rPr>
        <w:t>.4</w:t>
      </w:r>
      <w:r>
        <w:rPr>
          <w:rFonts w:hint="eastAsia"/>
        </w:rPr>
        <w:t>万元；</w:t>
      </w:r>
    </w:p>
    <w:p>
      <w:pPr>
        <w:ind w:firstLine="640"/>
      </w:pPr>
      <w:r>
        <w:rPr>
          <w:rFonts w:hint="eastAsia"/>
        </w:rPr>
        <w:t>博士：20-35万元/年，安家费最高80万元；</w:t>
      </w:r>
    </w:p>
    <w:p>
      <w:pPr>
        <w:ind w:firstLine="640"/>
      </w:pPr>
      <w:r>
        <w:rPr>
          <w:rFonts w:hint="eastAsia"/>
        </w:rPr>
        <w:t>高层次人才、紧缺人才实行协议薪酬。</w:t>
      </w:r>
    </w:p>
    <w:p>
      <w:pPr>
        <w:numPr>
          <w:ilvl w:val="0"/>
          <w:numId w:val="0"/>
        </w:numPr>
        <w:ind w:firstLine="640" w:firstLineChars="200"/>
      </w:pPr>
      <w:r>
        <w:rPr>
          <w:rFonts w:hint="eastAsia" w:ascii="仿宋_GB2312" w:hAnsi="仿宋_GB2312" w:eastAsia="仿宋_GB2312" w:cs="仿宋_GB2312"/>
        </w:rPr>
        <w:t>㈡</w:t>
      </w:r>
      <w:r>
        <w:rPr>
          <w:rFonts w:hint="eastAsia"/>
          <w:lang w:val="en-US" w:eastAsia="zh-CN"/>
        </w:rPr>
        <w:t xml:space="preserve"> </w:t>
      </w:r>
      <w:r>
        <w:rPr>
          <w:rFonts w:hint="eastAsia"/>
        </w:rPr>
        <w:t>福利待遇</w:t>
      </w:r>
    </w:p>
    <w:p>
      <w:pPr>
        <w:ind w:firstLine="640"/>
        <w:rPr>
          <w:rFonts w:hint="eastAsia"/>
        </w:rPr>
      </w:pPr>
      <w:r>
        <w:rPr>
          <w:rFonts w:hint="eastAsia"/>
        </w:rPr>
        <w:t>五险两金；商业保险（补充医疗保险、意外伤害险、重大疾病险）；带薪年假、国家法定节假日等各类假期；免费单身公寓；用餐补贴、节日补贴、高温补贴、通讯补贴等各类补贴；免费年度体检；室外篮球场、足球场；室内羽毛球馆、乒乓球馆、游泳馆等健身场地；丰富的文体活动、团建活动。</w:t>
      </w:r>
    </w:p>
    <w:p>
      <w:pPr>
        <w:pStyle w:val="2"/>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eastAsia="zh-CN"/>
        </w:rPr>
      </w:pPr>
      <w:r>
        <w:rPr>
          <w:rFonts w:hint="eastAsia" w:ascii="黑体" w:hAnsi="黑体" w:eastAsia="黑体" w:cs="黑体"/>
          <w:b w:val="0"/>
          <w:bCs/>
          <w:lang w:eastAsia="zh-CN"/>
        </w:rPr>
        <w:t>六、联系人及电话</w:t>
      </w:r>
    </w:p>
    <w:p>
      <w:pPr>
        <w:ind w:firstLine="640"/>
      </w:pPr>
      <w:r>
        <w:rPr>
          <w:rFonts w:hint="eastAsia"/>
        </w:rPr>
        <w:t>联系老师：付  茂，0851-88696039/13269353095</w:t>
      </w:r>
    </w:p>
    <w:p>
      <w:pPr>
        <w:ind w:firstLine="640"/>
      </w:pPr>
      <w:r>
        <w:rPr>
          <w:rFonts w:hint="eastAsia"/>
        </w:rPr>
        <w:t>电子邮箱：hr_casic@163.com</w:t>
      </w:r>
    </w:p>
    <w:p>
      <w:pPr>
        <w:ind w:firstLine="640"/>
      </w:pPr>
      <w:r>
        <w:rPr>
          <w:rFonts w:hint="eastAsia"/>
        </w:rPr>
        <w:t>联系地址：贵州省贵阳市经济技术开发区红河路7号</w:t>
      </w:r>
    </w:p>
    <w:p>
      <w:pPr>
        <w:ind w:firstLine="640"/>
      </w:pPr>
      <w:r>
        <w:rPr>
          <w:rFonts w:hint="eastAsia"/>
        </w:rPr>
        <w:t>邮政编码：550009</w:t>
      </w:r>
    </w:p>
    <w:p>
      <w:pPr>
        <w:tabs>
          <w:tab w:val="left" w:pos="1843"/>
          <w:tab w:val="left" w:pos="1985"/>
          <w:tab w:val="left" w:pos="2410"/>
        </w:tabs>
        <w:adjustRightInd w:val="0"/>
        <w:snapToGrid w:val="0"/>
        <w:spacing w:line="480" w:lineRule="exact"/>
        <w:ind w:firstLine="640"/>
        <w:jc w:val="right"/>
        <w:rPr>
          <w:rFonts w:ascii="仿宋_GB2312" w:hAnsi="仿宋_GB2312" w:cs="仿宋_GB2312"/>
          <w:bCs/>
          <w:szCs w:val="32"/>
        </w:rPr>
      </w:pPr>
    </w:p>
    <w:p>
      <w:pPr>
        <w:ind w:left="1600" w:leftChars="200" w:hanging="960" w:hangingChars="300"/>
      </w:pPr>
      <w:r>
        <w:rPr>
          <w:rFonts w:hint="eastAsia"/>
        </w:rPr>
        <w:t>附件：航天十院202</w:t>
      </w:r>
      <w:r>
        <w:rPr>
          <w:rFonts w:hint="eastAsia"/>
          <w:lang w:val="en-US" w:eastAsia="zh-CN"/>
        </w:rPr>
        <w:t>3</w:t>
      </w:r>
      <w:r>
        <w:rPr>
          <w:rFonts w:hint="eastAsia"/>
          <w:lang w:eastAsia="zh-CN"/>
        </w:rPr>
        <w:t>届秋</w:t>
      </w:r>
      <w:r>
        <w:rPr>
          <w:rFonts w:hint="eastAsia"/>
        </w:rPr>
        <w:t>季招聘引进计划一览表</w:t>
      </w:r>
    </w:p>
    <w:p>
      <w:pPr>
        <w:pStyle w:val="2"/>
        <w:ind w:firstLine="640"/>
      </w:pPr>
    </w:p>
    <w:p>
      <w:pPr>
        <w:tabs>
          <w:tab w:val="left" w:pos="1843"/>
          <w:tab w:val="left" w:pos="1985"/>
          <w:tab w:val="left" w:pos="2410"/>
        </w:tabs>
        <w:adjustRightInd w:val="0"/>
        <w:snapToGrid w:val="0"/>
        <w:spacing w:line="480" w:lineRule="exact"/>
        <w:ind w:firstLine="640"/>
        <w:rPr>
          <w:rFonts w:ascii="仿宋_GB2312" w:hAnsi="仿宋_GB2312" w:cs="仿宋_GB2312"/>
          <w:bCs/>
          <w:szCs w:val="32"/>
        </w:rPr>
      </w:pPr>
      <w:r>
        <w:rPr>
          <w:rFonts w:hint="eastAsia" w:ascii="仿宋_GB2312" w:hAnsi="仿宋_GB2312" w:cs="仿宋_GB2312"/>
          <w:bCs/>
          <w:szCs w:val="32"/>
        </w:rPr>
        <w:t>我们迫切需求并且诚挚欢迎热爱航天事业、崇尚使命与荣耀的有识之士加盟！加盟航天十院，守卫祖国蓝天！</w:t>
      </w:r>
    </w:p>
    <w:p>
      <w:pPr>
        <w:tabs>
          <w:tab w:val="left" w:pos="1843"/>
          <w:tab w:val="left" w:pos="1985"/>
          <w:tab w:val="left" w:pos="2410"/>
        </w:tabs>
        <w:wordWrap w:val="0"/>
        <w:adjustRightInd w:val="0"/>
        <w:snapToGrid w:val="0"/>
        <w:spacing w:line="480" w:lineRule="exact"/>
        <w:ind w:firstLine="640"/>
        <w:jc w:val="right"/>
        <w:rPr>
          <w:rFonts w:ascii="仿宋_GB2312" w:hAnsi="仿宋_GB2312" w:cs="仿宋_GB2312"/>
          <w:bCs/>
          <w:szCs w:val="32"/>
        </w:rPr>
      </w:pPr>
    </w:p>
    <w:p>
      <w:pPr>
        <w:pStyle w:val="2"/>
        <w:ind w:firstLine="640"/>
      </w:pPr>
    </w:p>
    <w:p>
      <w:pPr>
        <w:tabs>
          <w:tab w:val="left" w:pos="1843"/>
          <w:tab w:val="left" w:pos="1985"/>
          <w:tab w:val="left" w:pos="2410"/>
        </w:tabs>
        <w:wordWrap w:val="0"/>
        <w:adjustRightInd w:val="0"/>
        <w:snapToGrid w:val="0"/>
        <w:spacing w:line="480" w:lineRule="exact"/>
        <w:ind w:firstLine="640"/>
        <w:jc w:val="right"/>
        <w:rPr>
          <w:sz w:val="21"/>
          <w:szCs w:val="21"/>
        </w:rPr>
      </w:pPr>
      <w:r>
        <w:rPr>
          <w:rFonts w:hint="eastAsia" w:ascii="仿宋_GB2312" w:hAnsi="仿宋_GB2312" w:cs="仿宋_GB2312"/>
          <w:bCs/>
          <w:szCs w:val="32"/>
        </w:rPr>
        <w:t>航天十院人力资源部</w:t>
      </w:r>
    </w:p>
    <w:p>
      <w:pPr>
        <w:ind w:firstLine="0" w:firstLineChars="0"/>
        <w:jc w:val="center"/>
        <w:rPr>
          <w:rFonts w:ascii="仿宋_GB2312" w:hAnsi="仿宋_GB2312" w:cs="仿宋_GB2312"/>
        </w:rPr>
      </w:pPr>
      <w:r>
        <w:rPr>
          <w:rFonts w:hint="eastAsia"/>
        </w:rPr>
        <w:t xml:space="preserve">                                    二</w:t>
      </w:r>
      <w:r>
        <w:t>零</w:t>
      </w:r>
      <w:r>
        <w:rPr>
          <w:rFonts w:hint="eastAsia" w:ascii="仿宋_GB2312" w:hAnsi="仿宋_GB2312" w:cs="仿宋_GB2312"/>
        </w:rPr>
        <w:t>二二年</w:t>
      </w:r>
      <w:r>
        <w:rPr>
          <w:rFonts w:hint="eastAsia" w:ascii="仿宋_GB2312" w:hAnsi="仿宋_GB2312" w:cs="仿宋_GB2312"/>
          <w:lang w:val="en-US" w:eastAsia="zh-CN"/>
        </w:rPr>
        <w:t>九</w:t>
      </w:r>
      <w:r>
        <w:rPr>
          <w:rFonts w:hint="eastAsia" w:ascii="仿宋_GB2312" w:hAnsi="仿宋_GB2312" w:cs="仿宋_GB2312"/>
        </w:rPr>
        <w:t>月</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隶书">
    <w:altName w:val="报隶-简"/>
    <w:panose1 w:val="02010800040101010101"/>
    <w:charset w:val="86"/>
    <w:family w:val="auto"/>
    <w:pitch w:val="default"/>
    <w:sig w:usb0="00000000" w:usb1="00000000" w:usb2="00000000" w:usb3="00000000" w:csb0="00040000" w:csb1="00000000"/>
  </w:font>
  <w:font w:name="报隶-简">
    <w:panose1 w:val="0201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6"/>
                      <w:ind w:firstLine="0" w:firstLineChars="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w:t>
                    </w:r>
                    <w:r>
                      <w:rPr>
                        <w:rFonts w:hint="eastAsia"/>
                      </w:rP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20"/>
      <w:rPr>
        <w:sz w:val="21"/>
        <w:szCs w:val="21"/>
      </w:rPr>
    </w:pPr>
    <w:r>
      <w:rPr>
        <w:rFonts w:hint="eastAsia"/>
        <w:sz w:val="21"/>
        <w:szCs w:val="21"/>
      </w:rPr>
      <w:drawing>
        <wp:anchor distT="0" distB="0" distL="114300" distR="114300" simplePos="0" relativeHeight="251659264" behindDoc="0" locked="0" layoutInCell="1" allowOverlap="1">
          <wp:simplePos x="0" y="0"/>
          <wp:positionH relativeFrom="column">
            <wp:posOffset>-20955</wp:posOffset>
          </wp:positionH>
          <wp:positionV relativeFrom="paragraph">
            <wp:posOffset>-10160</wp:posOffset>
          </wp:positionV>
          <wp:extent cx="533400" cy="381635"/>
          <wp:effectExtent l="0" t="0" r="0" b="18415"/>
          <wp:wrapTopAndBottom/>
          <wp:docPr id="12" name="图片 12" descr="航天江南横式标识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航天江南横式标识副本"/>
                  <pic:cNvPicPr>
                    <a:picLocks noChangeAspect="1"/>
                  </pic:cNvPicPr>
                </pic:nvPicPr>
                <pic:blipFill>
                  <a:blip r:embed="rId1"/>
                  <a:srcRect l="3355" t="11189" r="77094" b="14706"/>
                  <a:stretch>
                    <a:fillRect/>
                  </a:stretch>
                </pic:blipFill>
                <pic:spPr>
                  <a:xfrm>
                    <a:off x="0" y="0"/>
                    <a:ext cx="533400" cy="381635"/>
                  </a:xfrm>
                  <a:prstGeom prst="rect">
                    <a:avLst/>
                  </a:prstGeom>
                </pic:spPr>
              </pic:pic>
            </a:graphicData>
          </a:graphic>
        </wp:anchor>
      </w:drawing>
    </w:r>
  </w:p>
  <w:p>
    <w:pPr>
      <w:pStyle w:val="7"/>
      <w:pBdr>
        <w:bottom w:val="dashDotStroked" w:color="auto" w:sz="24" w:space="1"/>
      </w:pBdr>
      <w:ind w:firstLine="420"/>
      <w:jc w:val="left"/>
      <w:rPr>
        <w:sz w:val="21"/>
        <w:szCs w:val="21"/>
      </w:rPr>
    </w:pPr>
    <w:r>
      <w:rPr>
        <w:rFonts w:hint="eastAsia"/>
        <w:sz w:val="21"/>
        <w:szCs w:val="21"/>
      </w:rPr>
      <w:t xml:space="preserve">    中国航天科工集团第十研究院                          202</w:t>
    </w:r>
    <w:r>
      <w:rPr>
        <w:rFonts w:hint="eastAsia"/>
        <w:sz w:val="21"/>
        <w:szCs w:val="21"/>
        <w:lang w:val="en-US" w:eastAsia="zh-CN"/>
      </w:rPr>
      <w:t>3届秋</w:t>
    </w:r>
    <w:r>
      <w:rPr>
        <w:rFonts w:hint="eastAsia"/>
        <w:sz w:val="21"/>
        <w:szCs w:val="21"/>
      </w:rPr>
      <w:t>季招聘公告</w:t>
    </w:r>
  </w:p>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A92873"/>
    <w:multiLevelType w:val="multilevel"/>
    <w:tmpl w:val="5EA92873"/>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EC77B02"/>
    <w:multiLevelType w:val="multilevel"/>
    <w:tmpl w:val="5EC77B02"/>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DF3E1F"/>
    <w:multiLevelType w:val="singleLevel"/>
    <w:tmpl w:val="5EDF3E1F"/>
    <w:lvl w:ilvl="0" w:tentative="0">
      <w:start w:val="1"/>
      <w:numFmt w:val="chineseCounting"/>
      <w:pStyle w:val="3"/>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D15F8"/>
    <w:rsid w:val="00DA7B88"/>
    <w:rsid w:val="00E96D2D"/>
    <w:rsid w:val="01C7752B"/>
    <w:rsid w:val="08210FA3"/>
    <w:rsid w:val="0A64740A"/>
    <w:rsid w:val="0C950A67"/>
    <w:rsid w:val="100C321C"/>
    <w:rsid w:val="103D46DC"/>
    <w:rsid w:val="10AC7CA9"/>
    <w:rsid w:val="11235BB5"/>
    <w:rsid w:val="13DF02F2"/>
    <w:rsid w:val="157E3063"/>
    <w:rsid w:val="17066E48"/>
    <w:rsid w:val="17354CEC"/>
    <w:rsid w:val="1A534499"/>
    <w:rsid w:val="1B3F47AE"/>
    <w:rsid w:val="1BA314F2"/>
    <w:rsid w:val="1CAA6DE1"/>
    <w:rsid w:val="1CE159CA"/>
    <w:rsid w:val="1DDF0FCC"/>
    <w:rsid w:val="23284BB9"/>
    <w:rsid w:val="28040FD3"/>
    <w:rsid w:val="286D7693"/>
    <w:rsid w:val="290872C6"/>
    <w:rsid w:val="2A7F579F"/>
    <w:rsid w:val="2B626B09"/>
    <w:rsid w:val="2C0A5F7B"/>
    <w:rsid w:val="30A10A3D"/>
    <w:rsid w:val="31177233"/>
    <w:rsid w:val="31FE58DB"/>
    <w:rsid w:val="330C5D40"/>
    <w:rsid w:val="343E48B9"/>
    <w:rsid w:val="366E1BCC"/>
    <w:rsid w:val="38253F00"/>
    <w:rsid w:val="384B5FE3"/>
    <w:rsid w:val="38B4010D"/>
    <w:rsid w:val="39662388"/>
    <w:rsid w:val="396F61EE"/>
    <w:rsid w:val="3C4B3CA9"/>
    <w:rsid w:val="3F50630C"/>
    <w:rsid w:val="43C221A2"/>
    <w:rsid w:val="44FF03B0"/>
    <w:rsid w:val="490C74D4"/>
    <w:rsid w:val="495D687B"/>
    <w:rsid w:val="4AC3123A"/>
    <w:rsid w:val="4AC7359A"/>
    <w:rsid w:val="4B00433A"/>
    <w:rsid w:val="4C4F7784"/>
    <w:rsid w:val="4EF868ED"/>
    <w:rsid w:val="4F3127E6"/>
    <w:rsid w:val="4FCB25C7"/>
    <w:rsid w:val="4FF146CD"/>
    <w:rsid w:val="50C7527E"/>
    <w:rsid w:val="53045AA1"/>
    <w:rsid w:val="53462D83"/>
    <w:rsid w:val="538128A2"/>
    <w:rsid w:val="5398484A"/>
    <w:rsid w:val="53F70747"/>
    <w:rsid w:val="56BC4FBE"/>
    <w:rsid w:val="578D66CF"/>
    <w:rsid w:val="590B4429"/>
    <w:rsid w:val="5B6E2B3A"/>
    <w:rsid w:val="5C370BEA"/>
    <w:rsid w:val="5C544974"/>
    <w:rsid w:val="5EB55583"/>
    <w:rsid w:val="651F7972"/>
    <w:rsid w:val="662C4BC5"/>
    <w:rsid w:val="66E87474"/>
    <w:rsid w:val="681447D5"/>
    <w:rsid w:val="6BCD6405"/>
    <w:rsid w:val="6E9E13F4"/>
    <w:rsid w:val="6EAF4B2C"/>
    <w:rsid w:val="6F5E7DAE"/>
    <w:rsid w:val="6FC44DC8"/>
    <w:rsid w:val="73537398"/>
    <w:rsid w:val="76D80ACE"/>
    <w:rsid w:val="7A98516E"/>
    <w:rsid w:val="7B1C36FD"/>
    <w:rsid w:val="7C4A1244"/>
    <w:rsid w:val="7C5A67B7"/>
    <w:rsid w:val="7CC32DA1"/>
    <w:rsid w:val="7E0B07C7"/>
    <w:rsid w:val="7EFD3706"/>
    <w:rsid w:val="7FDE77F9"/>
    <w:rsid w:val="DFFE76FF"/>
    <w:rsid w:val="FDB95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numPr>
        <w:ilvl w:val="0"/>
        <w:numId w:val="1"/>
      </w:numPr>
      <w:spacing w:before="340" w:after="330"/>
      <w:ind w:firstLine="0"/>
      <w:outlineLvl w:val="0"/>
    </w:pPr>
    <w:rPr>
      <w:b/>
      <w:kern w:val="44"/>
    </w:rPr>
  </w:style>
  <w:style w:type="paragraph" w:styleId="4">
    <w:name w:val="heading 2"/>
    <w:basedOn w:val="1"/>
    <w:next w:val="1"/>
    <w:unhideWhenUsed/>
    <w:qFormat/>
    <w:uiPriority w:val="0"/>
    <w:pPr>
      <w:numPr>
        <w:ilvl w:val="0"/>
        <w:numId w:val="2"/>
      </w:numPr>
      <w:spacing w:before="260" w:after="200"/>
      <w:ind w:left="0" w:firstLine="0" w:firstLineChars="0"/>
      <w:outlineLvl w:val="1"/>
    </w:pPr>
    <w:rPr>
      <w:rFonts w:ascii="Arial" w:hAnsi="Arial"/>
      <w:b/>
    </w:rPr>
  </w:style>
  <w:style w:type="paragraph" w:styleId="5">
    <w:name w:val="heading 3"/>
    <w:basedOn w:val="1"/>
    <w:next w:val="1"/>
    <w:link w:val="10"/>
    <w:unhideWhenUsed/>
    <w:qFormat/>
    <w:uiPriority w:val="0"/>
    <w:pPr>
      <w:numPr>
        <w:ilvl w:val="0"/>
        <w:numId w:val="3"/>
      </w:numPr>
      <w:tabs>
        <w:tab w:val="left" w:pos="0"/>
      </w:tabs>
      <w:spacing w:before="260" w:after="260"/>
      <w:ind w:left="0" w:firstLine="0" w:firstLineChars="0"/>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0">
    <w:name w:val="标题 3 Char"/>
    <w:basedOn w:val="9"/>
    <w:link w:val="5"/>
    <w:qFormat/>
    <w:uiPriority w:val="0"/>
    <w:rPr>
      <w:rFonts w:ascii="Times New Roman" w:hAnsi="Times New Roman" w:eastAsia="仿宋_GB2312"/>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229</Words>
  <Characters>1310</Characters>
  <Lines>10</Lines>
  <Paragraphs>3</Paragraphs>
  <TotalTime>13</TotalTime>
  <ScaleCrop>false</ScaleCrop>
  <LinksUpToDate>false</LinksUpToDate>
  <CharactersWithSpaces>1536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zhaoxinlei</dc:creator>
  <cp:lastModifiedBy>二黑</cp:lastModifiedBy>
  <dcterms:modified xsi:type="dcterms:W3CDTF">2022-09-07T09:11:57Z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ABCFA497439FE73ADDEF1763A4F14394</vt:lpwstr>
  </property>
</Properties>
</file>